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3" w:rsidRPr="009778A1" w:rsidRDefault="00270FE3" w:rsidP="007162EF">
      <w:pPr>
        <w:tabs>
          <w:tab w:val="left" w:pos="567"/>
        </w:tabs>
        <w:spacing w:before="120" w:after="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r w:rsidRPr="009778A1">
        <w:rPr>
          <w:rFonts w:ascii="Arial" w:hAnsi="Arial" w:cs="Arial"/>
          <w:b/>
          <w:color w:val="17365D" w:themeColor="text2" w:themeShade="BF"/>
        </w:rPr>
        <w:t xml:space="preserve">BROJ RAČUNA </w:t>
      </w:r>
      <w:r w:rsidR="00643769">
        <w:rPr>
          <w:rFonts w:ascii="Arial" w:hAnsi="Arial" w:cs="Arial"/>
          <w:b/>
          <w:color w:val="17365D" w:themeColor="text2" w:themeShade="BF"/>
        </w:rPr>
        <w:t xml:space="preserve">POSLOVNIH SUBJEKATA I GRAĐANA </w:t>
      </w:r>
      <w:r w:rsidR="00DA0B88">
        <w:rPr>
          <w:rFonts w:ascii="Arial" w:hAnsi="Arial" w:cs="Arial"/>
          <w:b/>
          <w:color w:val="17365D" w:themeColor="text2" w:themeShade="BF"/>
        </w:rPr>
        <w:t>KOD KREDITNIH INSTITUCIJA</w:t>
      </w:r>
    </w:p>
    <w:p w:rsidR="00643769" w:rsidRDefault="009778A1" w:rsidP="00C822EC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270FE3" w:rsidRPr="009778A1">
        <w:rPr>
          <w:rFonts w:ascii="Arial" w:hAnsi="Arial" w:cs="Arial"/>
          <w:color w:val="17365D" w:themeColor="text2" w:themeShade="BF"/>
          <w:sz w:val="20"/>
          <w:szCs w:val="20"/>
        </w:rPr>
        <w:t>rajem mjeseca listopada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obiljež</w:t>
      </w:r>
      <w:r w:rsidR="00643769">
        <w:rPr>
          <w:rFonts w:ascii="Arial" w:hAnsi="Arial" w:cs="Arial"/>
          <w:color w:val="17365D" w:themeColor="text2" w:themeShade="BF"/>
          <w:sz w:val="20"/>
          <w:szCs w:val="20"/>
        </w:rPr>
        <w:t xml:space="preserve">en </w:t>
      </w:r>
      <w:r w:rsidR="00643769" w:rsidRPr="00C822EC">
        <w:rPr>
          <w:rFonts w:ascii="Arial" w:hAnsi="Arial" w:cs="Arial"/>
          <w:color w:val="17365D"/>
          <w:sz w:val="20"/>
          <w:szCs w:val="20"/>
        </w:rPr>
        <w:t xml:space="preserve">je </w:t>
      </w:r>
      <w:r w:rsidRPr="00C822EC">
        <w:rPr>
          <w:rFonts w:ascii="Arial" w:hAnsi="Arial" w:cs="Arial"/>
          <w:color w:val="17365D"/>
          <w:sz w:val="20"/>
          <w:szCs w:val="20"/>
        </w:rPr>
        <w:t xml:space="preserve">Svjetski dan štednje 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>kao sjećanje na Prvi međunarodni kongres štedioničara održan 31.</w:t>
      </w:r>
      <w:r w:rsidR="00643769" w:rsidRPr="00C822EC">
        <w:rPr>
          <w:rFonts w:ascii="Arial" w:hAnsi="Arial" w:cs="Arial"/>
          <w:color w:val="17365D"/>
          <w:sz w:val="20"/>
          <w:szCs w:val="20"/>
        </w:rPr>
        <w:t xml:space="preserve"> listopada 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>1924.</w:t>
      </w:r>
      <w:r w:rsidR="00643769" w:rsidRPr="00C822EC">
        <w:rPr>
          <w:rFonts w:ascii="Arial" w:hAnsi="Arial" w:cs="Arial"/>
          <w:color w:val="17365D"/>
          <w:sz w:val="20"/>
          <w:szCs w:val="20"/>
        </w:rPr>
        <w:t xml:space="preserve"> godine,</w:t>
      </w:r>
      <w:r w:rsidR="00270FE3" w:rsidRPr="00C822EC">
        <w:rPr>
          <w:rFonts w:ascii="Arial" w:hAnsi="Arial" w:cs="Arial"/>
          <w:color w:val="17365D"/>
          <w:sz w:val="20"/>
          <w:szCs w:val="20"/>
        </w:rPr>
        <w:t xml:space="preserve"> u Milanu</w:t>
      </w:r>
      <w:r w:rsidR="00270FE3"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</w:p>
    <w:p w:rsidR="008B18FE" w:rsidRPr="00C822EC" w:rsidRDefault="007162EF" w:rsidP="00C822E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>Jedinstveni registar ra</w:t>
      </w:r>
      <w:bookmarkStart w:id="0" w:name="_GoBack"/>
      <w:bookmarkEnd w:id="0"/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čuna, kojeg Financijska agencija vodi od 2002. godine, sadrži podatke </w:t>
      </w:r>
      <w:r w:rsidRPr="00C822EC">
        <w:rPr>
          <w:rFonts w:ascii="Arial" w:eastAsia="Calibri" w:hAnsi="Arial" w:cs="Arial"/>
          <w:bCs/>
          <w:color w:val="0F243E" w:themeColor="text2" w:themeShade="80"/>
          <w:sz w:val="20"/>
          <w:szCs w:val="20"/>
        </w:rPr>
        <w:t>o računima svih poslovnih subjekata i o računima građana</w:t>
      </w: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>.</w:t>
      </w:r>
      <w:r w:rsidRPr="00C822EC">
        <w:rPr>
          <w:rStyle w:val="Referencafusnote"/>
          <w:rFonts w:ascii="Arial" w:eastAsia="Calibri" w:hAnsi="Arial" w:cs="Arial"/>
          <w:color w:val="0F243E" w:themeColor="text2" w:themeShade="80"/>
          <w:sz w:val="20"/>
          <w:szCs w:val="20"/>
        </w:rPr>
        <w:footnoteReference w:id="1"/>
      </w: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Od ukupnog broja građana u Republici Hrvatskoj, kojih je prema popisu iz 2011. godine 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284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889</w:t>
      </w:r>
      <w:r w:rsidRPr="00C822EC">
        <w:rPr>
          <w:rFonts w:ascii="Arial" w:hAnsi="Arial"/>
          <w:color w:val="0F243E" w:themeColor="text2" w:themeShade="80"/>
          <w:sz w:val="20"/>
          <w:szCs w:val="20"/>
          <w:vertAlign w:val="superscript"/>
        </w:rPr>
        <w:footnoteReference w:id="2"/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, </w:t>
      </w:r>
      <w:r w:rsidR="004D2399" w:rsidRPr="00C822EC">
        <w:rPr>
          <w:rFonts w:ascii="Arial" w:hAnsi="Arial" w:cs="Arial"/>
          <w:color w:val="0F243E" w:themeColor="text2" w:themeShade="80"/>
          <w:sz w:val="20"/>
          <w:szCs w:val="20"/>
        </w:rPr>
        <w:t>njih 3 759 396</w:t>
      </w:r>
      <w:r w:rsidR="003E6FFE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ima otvoren jedan ili više računa 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 hrvatskim kreditnim institucijama. 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>Prema podacima iz Jedinstvenog registra računa, u hrvatskim kreditnim institucijama (bankama, štednim bankama i štedionicama), prema stanju od 31. listopada 2018. godine bilo je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270FE3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ukupno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10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926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267 otvoren</w:t>
      </w:r>
      <w:r w:rsidR="007F0504" w:rsidRPr="00C822EC">
        <w:rPr>
          <w:rFonts w:ascii="Arial" w:hAnsi="Arial" w:cs="Arial"/>
          <w:color w:val="0F243E" w:themeColor="text2" w:themeShade="80"/>
          <w:sz w:val="20"/>
          <w:szCs w:val="20"/>
        </w:rPr>
        <w:t>ih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računa, 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što je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u odnosu na isto razdoblje 2017. godine, manje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za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2,5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%. Od ukupnog broja otvorenih računa, 7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793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527 računa odnosi se na transakcijske račune kojih je 0,75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% više u 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odnosu na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prethodno razdoblj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e (tablica 1)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. Preostalih 3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132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740 računa odnosi se na štedne račune od kojih je 1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193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434 onih s oročenim novčanim sredstvima, 1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442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828 računa štednje po viđenju, 476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835 računa stambene štednje te 19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643 računa depozita u kreditnim unijama.</w:t>
      </w:r>
    </w:p>
    <w:p w:rsidR="009778A1" w:rsidRPr="00643769" w:rsidRDefault="009778A1" w:rsidP="00643769">
      <w:pPr>
        <w:tabs>
          <w:tab w:val="right" w:pos="9639"/>
        </w:tabs>
        <w:spacing w:before="240" w:after="60" w:line="240" w:lineRule="auto"/>
        <w:ind w:left="1134" w:right="-28" w:hanging="1134"/>
        <w:rPr>
          <w:color w:val="17365D" w:themeColor="text2" w:themeShade="BF"/>
          <w:sz w:val="18"/>
          <w:szCs w:val="18"/>
        </w:rPr>
      </w:pP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1.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V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rst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e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i broj otvorenih računa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F0504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poslovnih subjekata i građana</w:t>
      </w:r>
    </w:p>
    <w:tbl>
      <w:tblPr>
        <w:tblW w:w="9708" w:type="dxa"/>
        <w:jc w:val="center"/>
        <w:tblInd w:w="-235" w:type="dxa"/>
        <w:tblLayout w:type="fixed"/>
        <w:tblLook w:val="04A0" w:firstRow="1" w:lastRow="0" w:firstColumn="1" w:lastColumn="0" w:noHBand="0" w:noVBand="1"/>
      </w:tblPr>
      <w:tblGrid>
        <w:gridCol w:w="3488"/>
        <w:gridCol w:w="2427"/>
        <w:gridCol w:w="2428"/>
        <w:gridCol w:w="1365"/>
      </w:tblGrid>
      <w:tr w:rsidR="00125E8F" w:rsidRPr="00125E8F" w:rsidTr="00643769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Vrsta računa</w:t>
            </w:r>
          </w:p>
        </w:tc>
        <w:tc>
          <w:tcPr>
            <w:tcW w:w="24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31.10.2017.</w:t>
            </w: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31.10.2018.</w:t>
            </w: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F497D"/>
            <w:vAlign w:val="center"/>
            <w:hideMark/>
          </w:tcPr>
          <w:p w:rsidR="009778A1" w:rsidRPr="00643769" w:rsidRDefault="00643769" w:rsidP="00643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Indeks </w:t>
            </w:r>
            <w:r w:rsidR="009778A1" w:rsidRPr="0064376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 %</w:t>
            </w:r>
          </w:p>
        </w:tc>
      </w:tr>
      <w:tr w:rsidR="00125E8F" w:rsidRPr="00125E8F" w:rsidTr="00643769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Transakcijski računi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7.735.666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7.793.527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0,75</w:t>
            </w:r>
          </w:p>
        </w:tc>
      </w:tr>
      <w:tr w:rsidR="00125E8F" w:rsidRPr="00125E8F" w:rsidTr="00643769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Oročena novčana sredstva 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1.272.884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1.193.434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-6,24</w:t>
            </w:r>
          </w:p>
        </w:tc>
      </w:tr>
      <w:tr w:rsidR="00125E8F" w:rsidRPr="00125E8F" w:rsidTr="00643769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Štednja po viđenju 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1.552.847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1.442.828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-7,08</w:t>
            </w:r>
          </w:p>
        </w:tc>
      </w:tr>
      <w:tr w:rsidR="00125E8F" w:rsidRPr="00125E8F" w:rsidTr="00643769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Stambena štednja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626.133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476.835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-23,84</w:t>
            </w:r>
          </w:p>
        </w:tc>
      </w:tr>
      <w:tr w:rsidR="00125E8F" w:rsidRPr="00125E8F" w:rsidTr="00A64820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000000" w:fill="1F497D"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Depozit u kreditnoj uniji</w:t>
            </w:r>
          </w:p>
        </w:tc>
        <w:tc>
          <w:tcPr>
            <w:tcW w:w="24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19.117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19.643</w:t>
            </w:r>
          </w:p>
        </w:tc>
        <w:tc>
          <w:tcPr>
            <w:tcW w:w="13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78A1" w:rsidRPr="00643769" w:rsidRDefault="009778A1" w:rsidP="00977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color w:val="1F497D"/>
                <w:sz w:val="18"/>
                <w:szCs w:val="18"/>
                <w:lang w:eastAsia="hr-HR"/>
              </w:rPr>
              <w:t>2,75</w:t>
            </w:r>
          </w:p>
        </w:tc>
      </w:tr>
      <w:tr w:rsidR="00125E8F" w:rsidRPr="00125E8F" w:rsidTr="00A64820">
        <w:trPr>
          <w:trHeight w:val="283"/>
          <w:jc w:val="center"/>
        </w:trPr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F497D"/>
            <w:vAlign w:val="center"/>
          </w:tcPr>
          <w:p w:rsidR="00643769" w:rsidRPr="00643769" w:rsidRDefault="00643769" w:rsidP="0032264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Svi otvoreni računi</w:t>
            </w:r>
          </w:p>
        </w:tc>
        <w:tc>
          <w:tcPr>
            <w:tcW w:w="24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43769" w:rsidRPr="00643769" w:rsidRDefault="00643769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  <w:t>11.206.647</w:t>
            </w:r>
          </w:p>
        </w:tc>
        <w:tc>
          <w:tcPr>
            <w:tcW w:w="24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43769" w:rsidRPr="00643769" w:rsidRDefault="00643769" w:rsidP="00125E8F">
            <w:pPr>
              <w:tabs>
                <w:tab w:val="left" w:pos="1625"/>
              </w:tabs>
              <w:spacing w:after="0" w:line="240" w:lineRule="auto"/>
              <w:ind w:right="583"/>
              <w:jc w:val="right"/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  <w:t>10.926.267</w:t>
            </w:r>
          </w:p>
        </w:tc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43769" w:rsidRPr="00643769" w:rsidRDefault="00643769" w:rsidP="0032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</w:pPr>
            <w:r w:rsidRPr="00643769"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eastAsia="hr-HR"/>
              </w:rPr>
              <w:t>-2,50</w:t>
            </w:r>
          </w:p>
        </w:tc>
      </w:tr>
    </w:tbl>
    <w:p w:rsidR="008B18FE" w:rsidRPr="009778A1" w:rsidRDefault="00092E66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092E66">
        <w:t xml:space="preserve"> </w:t>
      </w:r>
      <w:r w:rsidR="00B9330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</w:t>
      </w:r>
      <w:r w:rsidR="008B18F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Jedinstveni registar računa</w:t>
      </w:r>
    </w:p>
    <w:p w:rsidR="00643769" w:rsidRPr="009778A1" w:rsidRDefault="00643769" w:rsidP="00643769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Najv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eći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zabilježen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pad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broja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otvorenih računa 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odnosi se na račune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stamben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štednj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e (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23,84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)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="0000710D">
        <w:rPr>
          <w:rFonts w:ascii="Arial" w:hAnsi="Arial" w:cs="Arial"/>
          <w:color w:val="17365D" w:themeColor="text2" w:themeShade="BF"/>
          <w:sz w:val="20"/>
          <w:szCs w:val="20"/>
        </w:rPr>
        <w:t xml:space="preserve">dok je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broj otvorenih računa štednj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e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po viđenju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0710D">
        <w:rPr>
          <w:rFonts w:ascii="Arial" w:hAnsi="Arial" w:cs="Arial"/>
          <w:color w:val="17365D" w:themeColor="text2" w:themeShade="BF"/>
          <w:sz w:val="20"/>
          <w:szCs w:val="20"/>
        </w:rPr>
        <w:t xml:space="preserve">manji za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7,08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0710D">
        <w:rPr>
          <w:rFonts w:ascii="Arial" w:hAnsi="Arial" w:cs="Arial"/>
          <w:color w:val="17365D" w:themeColor="text2" w:themeShade="BF"/>
          <w:sz w:val="20"/>
          <w:szCs w:val="20"/>
        </w:rPr>
        <w:t>, a ra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čuna oročen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novčan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ih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sreds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ta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va za 6,24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00710D">
        <w:rPr>
          <w:rFonts w:ascii="Arial" w:hAnsi="Arial" w:cs="Arial"/>
          <w:color w:val="17365D" w:themeColor="text2" w:themeShade="BF"/>
          <w:sz w:val="20"/>
          <w:szCs w:val="20"/>
        </w:rPr>
        <w:t xml:space="preserve"> (tablica 1)</w:t>
      </w:r>
      <w:r w:rsidRPr="009778A1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7F0504" w:rsidRDefault="008B18FE" w:rsidP="00643769">
      <w:pPr>
        <w:spacing w:before="240" w:after="60" w:line="240" w:lineRule="auto"/>
        <w:ind w:left="1134" w:hanging="1134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Grafikon</w:t>
      </w:r>
      <w:r w:rsidR="00643769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 xml:space="preserve"> 1.</w:t>
      </w:r>
      <w:r w:rsidR="00643769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ab/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Vrsta i broj otvorenih računa u poslovnim bankama – podaci iz JRR-a na dan 31.10.2018. godine i usporedba s rezultatima na dan 31.10.2017. godine</w:t>
      </w:r>
    </w:p>
    <w:p w:rsidR="008B18FE" w:rsidRDefault="007F0504" w:rsidP="00643769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2B04E9DA" wp14:editId="776C8D03">
            <wp:extent cx="6035040" cy="2450592"/>
            <wp:effectExtent l="0" t="0" r="22860" b="2603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0504" w:rsidRPr="00643769" w:rsidRDefault="00643769" w:rsidP="00643769">
      <w:pPr>
        <w:spacing w:before="40" w:after="24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Jedinstveni registar računa</w:t>
      </w:r>
    </w:p>
    <w:p w:rsidR="007F0504" w:rsidRDefault="007F0504" w:rsidP="007F0504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4"/>
          <w:szCs w:val="4"/>
          <w:lang w:eastAsia="hr-HR"/>
        </w:rPr>
      </w:pPr>
    </w:p>
    <w:p w:rsidR="007F0504" w:rsidRDefault="007F0504" w:rsidP="007F0504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9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FINA InfoBlokade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10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11" w:history="1">
        <w:r>
          <w:rPr>
            <w:rStyle w:val="Hiperveza"/>
            <w:rFonts w:ascii="Arial" w:hAnsi="Arial" w:cs="Arial"/>
            <w:i/>
            <w:color w:val="0000FF"/>
            <w:sz w:val="18"/>
            <w:szCs w:val="18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p w:rsidR="007F0504" w:rsidRDefault="007F0504" w:rsidP="007F0504">
      <w:pPr>
        <w:spacing w:before="40" w:after="0" w:line="240" w:lineRule="auto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</w:p>
    <w:sectPr w:rsidR="007F0504" w:rsidSect="007162EF">
      <w:headerReference w:type="default" r:id="rId12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58" w:rsidRDefault="00922758" w:rsidP="008E7389">
      <w:pPr>
        <w:spacing w:after="0" w:line="240" w:lineRule="auto"/>
      </w:pPr>
      <w:r>
        <w:separator/>
      </w:r>
    </w:p>
  </w:endnote>
  <w:endnote w:type="continuationSeparator" w:id="0">
    <w:p w:rsidR="00922758" w:rsidRDefault="00922758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58" w:rsidRDefault="00922758" w:rsidP="008E7389">
      <w:pPr>
        <w:spacing w:after="0" w:line="240" w:lineRule="auto"/>
      </w:pPr>
      <w:r>
        <w:separator/>
      </w:r>
    </w:p>
  </w:footnote>
  <w:footnote w:type="continuationSeparator" w:id="0">
    <w:p w:rsidR="00922758" w:rsidRDefault="00922758" w:rsidP="008E7389">
      <w:pPr>
        <w:spacing w:after="0" w:line="240" w:lineRule="auto"/>
      </w:pPr>
      <w:r>
        <w:continuationSeparator/>
      </w:r>
    </w:p>
  </w:footnote>
  <w:footnote w:id="1">
    <w:p w:rsidR="007162EF" w:rsidRPr="00125E8F" w:rsidRDefault="007162EF">
      <w:pPr>
        <w:pStyle w:val="Tekstfusnote"/>
        <w:rPr>
          <w:rFonts w:ascii="Arial" w:hAnsi="Arial" w:cs="Arial"/>
          <w:color w:val="0F243E" w:themeColor="text2" w:themeShade="80"/>
          <w:sz w:val="16"/>
          <w:szCs w:val="16"/>
        </w:rPr>
      </w:pPr>
      <w:r w:rsidRPr="00125E8F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Podaci o računima građana u JRR-u se vode od 1. s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iječnja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20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11. godine.</w:t>
      </w:r>
    </w:p>
  </w:footnote>
  <w:footnote w:id="2">
    <w:p w:rsidR="007162EF" w:rsidRPr="00704857" w:rsidRDefault="007162EF" w:rsidP="007162EF">
      <w:pPr>
        <w:pStyle w:val="Tekstfusnote"/>
        <w:rPr>
          <w:rFonts w:ascii="Arial" w:hAnsi="Arial" w:cs="Arial"/>
          <w:color w:val="0F243E"/>
          <w:sz w:val="17"/>
          <w:szCs w:val="17"/>
        </w:rPr>
      </w:pPr>
      <w:r w:rsidRPr="00125E8F">
        <w:rPr>
          <w:rStyle w:val="Referencafusnot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>Izvor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: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Državni zavod za statistiku</w:t>
      </w:r>
      <w:r w:rsidRPr="00125E8F">
        <w:rPr>
          <w:rFonts w:ascii="Arial" w:hAnsi="Arial" w:cs="Arial"/>
          <w:color w:val="0F243E"/>
          <w:sz w:val="16"/>
          <w:szCs w:val="16"/>
        </w:rPr>
        <w:t xml:space="preserve">, </w:t>
      </w:r>
      <w:hyperlink r:id="rId1" w:history="1">
        <w:r w:rsidRPr="00125E8F">
          <w:rPr>
            <w:rStyle w:val="Hiperveza"/>
            <w:rFonts w:ascii="Arial" w:hAnsi="Arial" w:cs="Arial"/>
            <w:sz w:val="16"/>
            <w:szCs w:val="16"/>
          </w:rPr>
          <w:t>http://www.dzs.hr/</w:t>
        </w:r>
      </w:hyperlink>
      <w:r w:rsidRPr="00704857">
        <w:rPr>
          <w:rFonts w:ascii="Arial" w:hAnsi="Arial" w:cs="Arial"/>
          <w:color w:val="0F243E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7C" w:rsidRPr="007D72C1" w:rsidRDefault="0047787C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A14BDAE" wp14:editId="28BD7E4D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0710D"/>
    <w:rsid w:val="0001028D"/>
    <w:rsid w:val="000361C5"/>
    <w:rsid w:val="0003667F"/>
    <w:rsid w:val="00040235"/>
    <w:rsid w:val="000462BD"/>
    <w:rsid w:val="00056E81"/>
    <w:rsid w:val="00066D39"/>
    <w:rsid w:val="00071561"/>
    <w:rsid w:val="00082A80"/>
    <w:rsid w:val="00084E51"/>
    <w:rsid w:val="00092E66"/>
    <w:rsid w:val="0009705C"/>
    <w:rsid w:val="000A02DB"/>
    <w:rsid w:val="000A391C"/>
    <w:rsid w:val="000A44B9"/>
    <w:rsid w:val="000A7CB8"/>
    <w:rsid w:val="000B1AE4"/>
    <w:rsid w:val="000B35F1"/>
    <w:rsid w:val="000B365A"/>
    <w:rsid w:val="000B5BE0"/>
    <w:rsid w:val="000C09E6"/>
    <w:rsid w:val="000C3095"/>
    <w:rsid w:val="000C37FD"/>
    <w:rsid w:val="000D1DA8"/>
    <w:rsid w:val="000D37DF"/>
    <w:rsid w:val="000E01AD"/>
    <w:rsid w:val="000E2659"/>
    <w:rsid w:val="000E64A9"/>
    <w:rsid w:val="000F3063"/>
    <w:rsid w:val="00105822"/>
    <w:rsid w:val="00113744"/>
    <w:rsid w:val="00125E8F"/>
    <w:rsid w:val="00131CFD"/>
    <w:rsid w:val="00132FFE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A264F"/>
    <w:rsid w:val="001B1BD2"/>
    <w:rsid w:val="001B2811"/>
    <w:rsid w:val="001C045D"/>
    <w:rsid w:val="001C128A"/>
    <w:rsid w:val="001D0182"/>
    <w:rsid w:val="001D6D16"/>
    <w:rsid w:val="001E3896"/>
    <w:rsid w:val="001E5718"/>
    <w:rsid w:val="00203B37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0FE3"/>
    <w:rsid w:val="0027247E"/>
    <w:rsid w:val="00276D16"/>
    <w:rsid w:val="00285C48"/>
    <w:rsid w:val="002904C3"/>
    <w:rsid w:val="002B453C"/>
    <w:rsid w:val="002B53B8"/>
    <w:rsid w:val="002B5683"/>
    <w:rsid w:val="002C0FF8"/>
    <w:rsid w:val="002C13DB"/>
    <w:rsid w:val="002C3C08"/>
    <w:rsid w:val="002C4E15"/>
    <w:rsid w:val="002D6733"/>
    <w:rsid w:val="002E5A5F"/>
    <w:rsid w:val="003048E1"/>
    <w:rsid w:val="00305F99"/>
    <w:rsid w:val="00310AE6"/>
    <w:rsid w:val="00321B06"/>
    <w:rsid w:val="003254DB"/>
    <w:rsid w:val="003320A7"/>
    <w:rsid w:val="003365CB"/>
    <w:rsid w:val="00337815"/>
    <w:rsid w:val="00341200"/>
    <w:rsid w:val="0034204D"/>
    <w:rsid w:val="0034338F"/>
    <w:rsid w:val="00347279"/>
    <w:rsid w:val="0036105B"/>
    <w:rsid w:val="003624C9"/>
    <w:rsid w:val="00364A39"/>
    <w:rsid w:val="00367091"/>
    <w:rsid w:val="00370DD3"/>
    <w:rsid w:val="00371B92"/>
    <w:rsid w:val="0038631C"/>
    <w:rsid w:val="003918CD"/>
    <w:rsid w:val="003B6E89"/>
    <w:rsid w:val="003C0074"/>
    <w:rsid w:val="003C116E"/>
    <w:rsid w:val="003C4CF3"/>
    <w:rsid w:val="003E6262"/>
    <w:rsid w:val="003E6FFE"/>
    <w:rsid w:val="003F2910"/>
    <w:rsid w:val="00400475"/>
    <w:rsid w:val="00406858"/>
    <w:rsid w:val="0042782E"/>
    <w:rsid w:val="0043302F"/>
    <w:rsid w:val="004351C3"/>
    <w:rsid w:val="004359CE"/>
    <w:rsid w:val="00440D39"/>
    <w:rsid w:val="0044563B"/>
    <w:rsid w:val="00453346"/>
    <w:rsid w:val="0045381B"/>
    <w:rsid w:val="00466FEA"/>
    <w:rsid w:val="004713A7"/>
    <w:rsid w:val="00472DC9"/>
    <w:rsid w:val="00473F2F"/>
    <w:rsid w:val="004762F8"/>
    <w:rsid w:val="0047787C"/>
    <w:rsid w:val="00483C33"/>
    <w:rsid w:val="0048666C"/>
    <w:rsid w:val="0049313D"/>
    <w:rsid w:val="00493210"/>
    <w:rsid w:val="004946AC"/>
    <w:rsid w:val="004A50A1"/>
    <w:rsid w:val="004A5A59"/>
    <w:rsid w:val="004B54B1"/>
    <w:rsid w:val="004C2456"/>
    <w:rsid w:val="004D07C8"/>
    <w:rsid w:val="004D11CE"/>
    <w:rsid w:val="004D2399"/>
    <w:rsid w:val="004D4884"/>
    <w:rsid w:val="004D5DE7"/>
    <w:rsid w:val="004F01BA"/>
    <w:rsid w:val="004F1596"/>
    <w:rsid w:val="004F3E69"/>
    <w:rsid w:val="004F7B3C"/>
    <w:rsid w:val="00506B9B"/>
    <w:rsid w:val="0051465F"/>
    <w:rsid w:val="0051621E"/>
    <w:rsid w:val="00516A3B"/>
    <w:rsid w:val="00521BFD"/>
    <w:rsid w:val="00523DCA"/>
    <w:rsid w:val="005257CD"/>
    <w:rsid w:val="00542DE9"/>
    <w:rsid w:val="00551370"/>
    <w:rsid w:val="005517C3"/>
    <w:rsid w:val="005537CF"/>
    <w:rsid w:val="00562CD5"/>
    <w:rsid w:val="00566C34"/>
    <w:rsid w:val="00572347"/>
    <w:rsid w:val="00574383"/>
    <w:rsid w:val="00591BAA"/>
    <w:rsid w:val="005932AF"/>
    <w:rsid w:val="005B7260"/>
    <w:rsid w:val="005C2E7F"/>
    <w:rsid w:val="005C48CC"/>
    <w:rsid w:val="005D29E9"/>
    <w:rsid w:val="005E560D"/>
    <w:rsid w:val="005E659D"/>
    <w:rsid w:val="005F549C"/>
    <w:rsid w:val="005F6975"/>
    <w:rsid w:val="006005BE"/>
    <w:rsid w:val="006160DC"/>
    <w:rsid w:val="00620517"/>
    <w:rsid w:val="00626B41"/>
    <w:rsid w:val="00627A56"/>
    <w:rsid w:val="00632811"/>
    <w:rsid w:val="00634BA9"/>
    <w:rsid w:val="00643769"/>
    <w:rsid w:val="00646352"/>
    <w:rsid w:val="00646F89"/>
    <w:rsid w:val="006473DE"/>
    <w:rsid w:val="00652B3B"/>
    <w:rsid w:val="00656005"/>
    <w:rsid w:val="00656613"/>
    <w:rsid w:val="006600AF"/>
    <w:rsid w:val="00660F5D"/>
    <w:rsid w:val="006629EA"/>
    <w:rsid w:val="00666461"/>
    <w:rsid w:val="00674AD0"/>
    <w:rsid w:val="0068002C"/>
    <w:rsid w:val="006976B9"/>
    <w:rsid w:val="006B1ABA"/>
    <w:rsid w:val="006B7677"/>
    <w:rsid w:val="006C00E0"/>
    <w:rsid w:val="006C2AE8"/>
    <w:rsid w:val="006C2C83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2018"/>
    <w:rsid w:val="00713E71"/>
    <w:rsid w:val="00715441"/>
    <w:rsid w:val="007162EF"/>
    <w:rsid w:val="007251BF"/>
    <w:rsid w:val="007317D6"/>
    <w:rsid w:val="00733A0F"/>
    <w:rsid w:val="007352DC"/>
    <w:rsid w:val="00744EE8"/>
    <w:rsid w:val="007575DE"/>
    <w:rsid w:val="00765899"/>
    <w:rsid w:val="007658F3"/>
    <w:rsid w:val="007702ED"/>
    <w:rsid w:val="00793E44"/>
    <w:rsid w:val="007A08C5"/>
    <w:rsid w:val="007A1F04"/>
    <w:rsid w:val="007A429A"/>
    <w:rsid w:val="007A7B59"/>
    <w:rsid w:val="007C1176"/>
    <w:rsid w:val="007C257E"/>
    <w:rsid w:val="007C2D38"/>
    <w:rsid w:val="007C5652"/>
    <w:rsid w:val="007D1813"/>
    <w:rsid w:val="007D6D81"/>
    <w:rsid w:val="007D72C1"/>
    <w:rsid w:val="007F0504"/>
    <w:rsid w:val="007F2A8C"/>
    <w:rsid w:val="007F341C"/>
    <w:rsid w:val="00812E69"/>
    <w:rsid w:val="00830A46"/>
    <w:rsid w:val="0084529A"/>
    <w:rsid w:val="00850660"/>
    <w:rsid w:val="00853097"/>
    <w:rsid w:val="008631E4"/>
    <w:rsid w:val="0087155B"/>
    <w:rsid w:val="00872738"/>
    <w:rsid w:val="00874C85"/>
    <w:rsid w:val="00885FC3"/>
    <w:rsid w:val="0089350B"/>
    <w:rsid w:val="008A15B9"/>
    <w:rsid w:val="008A5C5F"/>
    <w:rsid w:val="008B18FE"/>
    <w:rsid w:val="008C04FA"/>
    <w:rsid w:val="008C62BF"/>
    <w:rsid w:val="008C775D"/>
    <w:rsid w:val="008D22E9"/>
    <w:rsid w:val="008D780E"/>
    <w:rsid w:val="008E7389"/>
    <w:rsid w:val="008F116F"/>
    <w:rsid w:val="008F4D6E"/>
    <w:rsid w:val="00901842"/>
    <w:rsid w:val="00903C2D"/>
    <w:rsid w:val="0091269B"/>
    <w:rsid w:val="009141F1"/>
    <w:rsid w:val="00922758"/>
    <w:rsid w:val="00923208"/>
    <w:rsid w:val="009243B9"/>
    <w:rsid w:val="009425BF"/>
    <w:rsid w:val="00943C24"/>
    <w:rsid w:val="009675FD"/>
    <w:rsid w:val="00972390"/>
    <w:rsid w:val="00976E12"/>
    <w:rsid w:val="009778A1"/>
    <w:rsid w:val="00984AF2"/>
    <w:rsid w:val="00985FEC"/>
    <w:rsid w:val="00992867"/>
    <w:rsid w:val="00994539"/>
    <w:rsid w:val="0099522D"/>
    <w:rsid w:val="009958C5"/>
    <w:rsid w:val="009A358A"/>
    <w:rsid w:val="009A5B57"/>
    <w:rsid w:val="009B228C"/>
    <w:rsid w:val="009C029C"/>
    <w:rsid w:val="009C2ABA"/>
    <w:rsid w:val="009C4557"/>
    <w:rsid w:val="009D3934"/>
    <w:rsid w:val="009D5EA3"/>
    <w:rsid w:val="009E39AC"/>
    <w:rsid w:val="009E63C0"/>
    <w:rsid w:val="009E6BA8"/>
    <w:rsid w:val="00A01AC0"/>
    <w:rsid w:val="00A02A9D"/>
    <w:rsid w:val="00A11CD2"/>
    <w:rsid w:val="00A206C4"/>
    <w:rsid w:val="00A21496"/>
    <w:rsid w:val="00A324E2"/>
    <w:rsid w:val="00A471A5"/>
    <w:rsid w:val="00A47BE5"/>
    <w:rsid w:val="00A47E6A"/>
    <w:rsid w:val="00A539F4"/>
    <w:rsid w:val="00A559E8"/>
    <w:rsid w:val="00A564B1"/>
    <w:rsid w:val="00A63F66"/>
    <w:rsid w:val="00A64820"/>
    <w:rsid w:val="00A64A4A"/>
    <w:rsid w:val="00A71456"/>
    <w:rsid w:val="00A718FA"/>
    <w:rsid w:val="00A76E8A"/>
    <w:rsid w:val="00A805F5"/>
    <w:rsid w:val="00A851C6"/>
    <w:rsid w:val="00A93DA6"/>
    <w:rsid w:val="00A9552D"/>
    <w:rsid w:val="00A95E07"/>
    <w:rsid w:val="00AA0531"/>
    <w:rsid w:val="00AA17D2"/>
    <w:rsid w:val="00AA376F"/>
    <w:rsid w:val="00AA7750"/>
    <w:rsid w:val="00AB1B86"/>
    <w:rsid w:val="00AB693B"/>
    <w:rsid w:val="00AC1F40"/>
    <w:rsid w:val="00AC4807"/>
    <w:rsid w:val="00AC5097"/>
    <w:rsid w:val="00AC6566"/>
    <w:rsid w:val="00AD0A58"/>
    <w:rsid w:val="00AD37ED"/>
    <w:rsid w:val="00AD60DF"/>
    <w:rsid w:val="00AE351D"/>
    <w:rsid w:val="00AE7C2A"/>
    <w:rsid w:val="00AF1B08"/>
    <w:rsid w:val="00AF54AA"/>
    <w:rsid w:val="00B00EE2"/>
    <w:rsid w:val="00B063D2"/>
    <w:rsid w:val="00B178F9"/>
    <w:rsid w:val="00B205FA"/>
    <w:rsid w:val="00B275BA"/>
    <w:rsid w:val="00B3418F"/>
    <w:rsid w:val="00B4291F"/>
    <w:rsid w:val="00B43719"/>
    <w:rsid w:val="00B440F1"/>
    <w:rsid w:val="00B44EDE"/>
    <w:rsid w:val="00B4520B"/>
    <w:rsid w:val="00B72FF5"/>
    <w:rsid w:val="00B7302B"/>
    <w:rsid w:val="00B74ADA"/>
    <w:rsid w:val="00B90E31"/>
    <w:rsid w:val="00B9330E"/>
    <w:rsid w:val="00BA0F3D"/>
    <w:rsid w:val="00BA5704"/>
    <w:rsid w:val="00BB6B67"/>
    <w:rsid w:val="00BC4354"/>
    <w:rsid w:val="00BD5573"/>
    <w:rsid w:val="00BD64B6"/>
    <w:rsid w:val="00BE55DA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72CC"/>
    <w:rsid w:val="00C17960"/>
    <w:rsid w:val="00C21072"/>
    <w:rsid w:val="00C33FA8"/>
    <w:rsid w:val="00C343B3"/>
    <w:rsid w:val="00C379FC"/>
    <w:rsid w:val="00C40CA3"/>
    <w:rsid w:val="00C41252"/>
    <w:rsid w:val="00C436C7"/>
    <w:rsid w:val="00C44B41"/>
    <w:rsid w:val="00C6164E"/>
    <w:rsid w:val="00C73651"/>
    <w:rsid w:val="00C74919"/>
    <w:rsid w:val="00C7639F"/>
    <w:rsid w:val="00C8054C"/>
    <w:rsid w:val="00C8090C"/>
    <w:rsid w:val="00C822EC"/>
    <w:rsid w:val="00C8410D"/>
    <w:rsid w:val="00C8523D"/>
    <w:rsid w:val="00C9618B"/>
    <w:rsid w:val="00CB324D"/>
    <w:rsid w:val="00CB4F88"/>
    <w:rsid w:val="00CC3877"/>
    <w:rsid w:val="00CC41A8"/>
    <w:rsid w:val="00CC45FB"/>
    <w:rsid w:val="00CC7B17"/>
    <w:rsid w:val="00CD6A4C"/>
    <w:rsid w:val="00CD78CC"/>
    <w:rsid w:val="00CE4FEA"/>
    <w:rsid w:val="00CF1A71"/>
    <w:rsid w:val="00D06A5D"/>
    <w:rsid w:val="00D11A71"/>
    <w:rsid w:val="00D14171"/>
    <w:rsid w:val="00D145FC"/>
    <w:rsid w:val="00D1505F"/>
    <w:rsid w:val="00D2010F"/>
    <w:rsid w:val="00D203A6"/>
    <w:rsid w:val="00D205CF"/>
    <w:rsid w:val="00D21D7D"/>
    <w:rsid w:val="00D2287B"/>
    <w:rsid w:val="00D2449B"/>
    <w:rsid w:val="00D24EAB"/>
    <w:rsid w:val="00D262CE"/>
    <w:rsid w:val="00D34A69"/>
    <w:rsid w:val="00D36FD1"/>
    <w:rsid w:val="00D4368D"/>
    <w:rsid w:val="00D459C2"/>
    <w:rsid w:val="00D56028"/>
    <w:rsid w:val="00D61154"/>
    <w:rsid w:val="00D644E7"/>
    <w:rsid w:val="00D827B9"/>
    <w:rsid w:val="00D866BD"/>
    <w:rsid w:val="00D90C24"/>
    <w:rsid w:val="00D95BFD"/>
    <w:rsid w:val="00DA0B88"/>
    <w:rsid w:val="00DC04BB"/>
    <w:rsid w:val="00DD08DE"/>
    <w:rsid w:val="00DD6AA5"/>
    <w:rsid w:val="00DD7687"/>
    <w:rsid w:val="00DF1D7A"/>
    <w:rsid w:val="00E12707"/>
    <w:rsid w:val="00E134A9"/>
    <w:rsid w:val="00E1622B"/>
    <w:rsid w:val="00E16A58"/>
    <w:rsid w:val="00E42448"/>
    <w:rsid w:val="00E50216"/>
    <w:rsid w:val="00E52427"/>
    <w:rsid w:val="00E53785"/>
    <w:rsid w:val="00E55A27"/>
    <w:rsid w:val="00E61CE7"/>
    <w:rsid w:val="00E61EB0"/>
    <w:rsid w:val="00E61FB9"/>
    <w:rsid w:val="00E634CA"/>
    <w:rsid w:val="00E6539B"/>
    <w:rsid w:val="00E67819"/>
    <w:rsid w:val="00E70D14"/>
    <w:rsid w:val="00E74263"/>
    <w:rsid w:val="00E8435F"/>
    <w:rsid w:val="00E84DE6"/>
    <w:rsid w:val="00E90ABD"/>
    <w:rsid w:val="00EB0F09"/>
    <w:rsid w:val="00EB2FA1"/>
    <w:rsid w:val="00EB4687"/>
    <w:rsid w:val="00EB6DE7"/>
    <w:rsid w:val="00EC1ACE"/>
    <w:rsid w:val="00EC314A"/>
    <w:rsid w:val="00EE4B82"/>
    <w:rsid w:val="00EF49A4"/>
    <w:rsid w:val="00EF6BF0"/>
    <w:rsid w:val="00F04A61"/>
    <w:rsid w:val="00F116D7"/>
    <w:rsid w:val="00F2234A"/>
    <w:rsid w:val="00F267D6"/>
    <w:rsid w:val="00F33B5A"/>
    <w:rsid w:val="00F36406"/>
    <w:rsid w:val="00F40EFB"/>
    <w:rsid w:val="00F44AA0"/>
    <w:rsid w:val="00F54E3F"/>
    <w:rsid w:val="00F56A6D"/>
    <w:rsid w:val="00F71288"/>
    <w:rsid w:val="00F72860"/>
    <w:rsid w:val="00F7499B"/>
    <w:rsid w:val="00F8430F"/>
    <w:rsid w:val="00F858C0"/>
    <w:rsid w:val="00F907CE"/>
    <w:rsid w:val="00FA09E7"/>
    <w:rsid w:val="00FA5B96"/>
    <w:rsid w:val="00FC1856"/>
    <w:rsid w:val="00FC33E1"/>
    <w:rsid w:val="00FC6D55"/>
    <w:rsid w:val="00FD3DCC"/>
    <w:rsid w:val="00FD43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styleId="SlijeenaHiperveza">
    <w:name w:val="FollowedHyperlink"/>
    <w:basedOn w:val="Zadanifontodlomka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rr.fina.hr/jr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'Grafikon 1'!$A$4</c:f>
              <c:strCache>
                <c:ptCount val="1"/>
                <c:pt idx="0">
                  <c:v>31.10.2018.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'Grafikon 1'!$B$3:$G$3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'Grafikon 1'!$B$4:$G$4</c:f>
              <c:numCache>
                <c:formatCode>#,##0</c:formatCode>
                <c:ptCount val="6"/>
                <c:pt idx="0">
                  <c:v>10926267</c:v>
                </c:pt>
                <c:pt idx="1">
                  <c:v>7793527</c:v>
                </c:pt>
                <c:pt idx="2">
                  <c:v>1193434</c:v>
                </c:pt>
                <c:pt idx="3">
                  <c:v>1442828</c:v>
                </c:pt>
                <c:pt idx="4">
                  <c:v>476835</c:v>
                </c:pt>
                <c:pt idx="5">
                  <c:v>19643</c:v>
                </c:pt>
              </c:numCache>
            </c:numRef>
          </c:val>
        </c:ser>
        <c:ser>
          <c:idx val="1"/>
          <c:order val="1"/>
          <c:tx>
            <c:strRef>
              <c:f>'Grafikon 1'!$A$5</c:f>
              <c:strCache>
                <c:ptCount val="1"/>
                <c:pt idx="0">
                  <c:v>31.10.2017.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'Grafikon 1'!$B$3:$G$3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'Grafikon 1'!$B$5:$G$5</c:f>
              <c:numCache>
                <c:formatCode>#,##0</c:formatCode>
                <c:ptCount val="6"/>
                <c:pt idx="0">
                  <c:v>11206647</c:v>
                </c:pt>
                <c:pt idx="1">
                  <c:v>7735666</c:v>
                </c:pt>
                <c:pt idx="2">
                  <c:v>1272884</c:v>
                </c:pt>
                <c:pt idx="3">
                  <c:v>1552847</c:v>
                </c:pt>
                <c:pt idx="4">
                  <c:v>626133</c:v>
                </c:pt>
                <c:pt idx="5">
                  <c:v>19117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7160448"/>
        <c:axId val="167584896"/>
        <c:axId val="0"/>
      </c:bar3DChart>
      <c:catAx>
        <c:axId val="55716044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167584896"/>
        <c:crosses val="autoZero"/>
        <c:auto val="1"/>
        <c:lblAlgn val="ctr"/>
        <c:lblOffset val="100"/>
        <c:noMultiLvlLbl val="0"/>
      </c:catAx>
      <c:valAx>
        <c:axId val="167584896"/>
        <c:scaling>
          <c:orientation val="minMax"/>
        </c:scaling>
        <c:delete val="0"/>
        <c:axPos val="b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5571604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>
              <a:solidFill>
                <a:srgbClr val="002060"/>
              </a:solidFill>
              <a:latin typeface="Arial" pitchFamily="34" charset="0"/>
              <a:cs typeface="Arial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0D49-03CE-4CCD-9B53-91067E60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2015-11-30T14:11:00Z</cp:lastPrinted>
  <dcterms:created xsi:type="dcterms:W3CDTF">2018-11-08T09:00:00Z</dcterms:created>
  <dcterms:modified xsi:type="dcterms:W3CDTF">2018-11-08T09:00:00Z</dcterms:modified>
</cp:coreProperties>
</file>